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BCBC" w14:textId="1BAB4DDC" w:rsidR="00AE72B9" w:rsidRDefault="00AE72B9" w:rsidP="00AE72B9">
      <w:pPr>
        <w:pStyle w:val="NormalWeb"/>
        <w:rPr>
          <w:rFonts w:ascii="Arial" w:hAnsi="Arial" w:cs="Arial"/>
          <w:color w:val="000000"/>
        </w:rPr>
      </w:pPr>
      <w:r>
        <w:rPr>
          <w:rFonts w:ascii="Arial" w:hAnsi="Arial" w:cs="Arial"/>
          <w:noProof/>
          <w:color w:val="000000"/>
        </w:rPr>
        <w:drawing>
          <wp:inline distT="0" distB="0" distL="0" distR="0" wp14:anchorId="2AC69D2B" wp14:editId="415789CE">
            <wp:extent cx="5715000"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98220"/>
                    </a:xfrm>
                    <a:prstGeom prst="rect">
                      <a:avLst/>
                    </a:prstGeom>
                    <a:noFill/>
                    <a:ln>
                      <a:noFill/>
                    </a:ln>
                  </pic:spPr>
                </pic:pic>
              </a:graphicData>
            </a:graphic>
          </wp:inline>
        </w:drawing>
      </w:r>
      <w:r>
        <w:rPr>
          <w:rFonts w:ascii="Arial" w:hAnsi="Arial" w:cs="Arial"/>
          <w:color w:val="000000"/>
        </w:rPr>
        <w:br/>
      </w:r>
      <w:r>
        <w:rPr>
          <w:rFonts w:ascii="Arial" w:hAnsi="Arial" w:cs="Arial"/>
          <w:color w:val="000000"/>
        </w:rPr>
        <w:br/>
      </w:r>
      <w:r>
        <w:rPr>
          <w:rStyle w:val="Strong"/>
          <w:rFonts w:ascii="Verdana" w:hAnsi="Verdana" w:cs="Arial"/>
          <w:color w:val="C00000"/>
          <w:sz w:val="32"/>
          <w:szCs w:val="32"/>
        </w:rPr>
        <w:t>Rosie D. News Stories                              April 2021</w:t>
      </w:r>
      <w:r>
        <w:rPr>
          <w:rFonts w:ascii="Arial" w:hAnsi="Arial" w:cs="Arial"/>
          <w:color w:val="000000"/>
        </w:rPr>
        <w:pict w14:anchorId="208845ED">
          <v:rect id="_x0000_i1030" style="width:468pt;height:1.2pt" o:hralign="center" o:hrstd="t" o:hr="t" fillcolor="#a0a0a0" stroked="f"/>
        </w:pict>
      </w:r>
    </w:p>
    <w:p w14:paraId="19A7DB5F" w14:textId="3FE9B019" w:rsidR="00AF1F60" w:rsidRPr="00AF1F60" w:rsidRDefault="00AF1F60" w:rsidP="0007550D">
      <w:pPr>
        <w:pBdr>
          <w:bottom w:val="single" w:sz="4" w:space="1" w:color="auto"/>
        </w:pBdr>
        <w:shd w:val="clear" w:color="auto" w:fill="FFFFFF"/>
        <w:spacing w:after="100" w:afterAutospacing="1" w:line="240" w:lineRule="auto"/>
        <w:rPr>
          <w:rFonts w:ascii="Verdana" w:eastAsia="Times New Roman" w:hAnsi="Verdana" w:cs="Times New Roman"/>
          <w:color w:val="000000"/>
        </w:rPr>
      </w:pPr>
      <w:r w:rsidRPr="00AF1F60">
        <w:rPr>
          <w:rFonts w:ascii="Verdana" w:eastAsia="Times New Roman" w:hAnsi="Verdana" w:cs="Times New Roman"/>
          <w:b/>
          <w:bCs/>
          <w:color w:val="000000"/>
          <w:u w:val="single"/>
        </w:rPr>
        <w:t>Plaintiffs Oppose Defendants’ Motion to Terminate the</w:t>
      </w:r>
      <w:r w:rsidRPr="007B0973">
        <w:rPr>
          <w:rFonts w:ascii="Verdana" w:eastAsia="Times New Roman" w:hAnsi="Verdana" w:cs="Times New Roman"/>
          <w:b/>
          <w:bCs/>
          <w:color w:val="000000"/>
          <w:u w:val="single"/>
        </w:rPr>
        <w:t xml:space="preserve"> </w:t>
      </w:r>
      <w:r w:rsidRPr="007B0973">
        <w:rPr>
          <w:rFonts w:ascii="Verdana" w:eastAsia="Times New Roman" w:hAnsi="Verdana" w:cs="Times New Roman"/>
          <w:b/>
          <w:bCs/>
          <w:i/>
          <w:iCs/>
          <w:color w:val="000000"/>
          <w:u w:val="single"/>
        </w:rPr>
        <w:t>Rosie D.</w:t>
      </w:r>
      <w:r w:rsidRPr="007B0973">
        <w:rPr>
          <w:rFonts w:ascii="Verdana" w:eastAsia="Times New Roman" w:hAnsi="Verdana" w:cs="Times New Roman"/>
          <w:b/>
          <w:bCs/>
          <w:color w:val="000000"/>
          <w:u w:val="single"/>
        </w:rPr>
        <w:t xml:space="preserve"> </w:t>
      </w:r>
      <w:r w:rsidRPr="00AF1F60">
        <w:rPr>
          <w:rFonts w:ascii="Verdana" w:eastAsia="Times New Roman" w:hAnsi="Verdana" w:cs="Times New Roman"/>
          <w:b/>
          <w:bCs/>
          <w:color w:val="000000"/>
          <w:u w:val="single"/>
        </w:rPr>
        <w:t>Judgment</w:t>
      </w:r>
    </w:p>
    <w:p w14:paraId="57979278"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sidRPr="00AF1F60">
        <w:rPr>
          <w:rFonts w:ascii="Verdana" w:eastAsia="Times New Roman" w:hAnsi="Verdana" w:cs="Times New Roman"/>
          <w:color w:val="000000"/>
        </w:rPr>
        <w:t xml:space="preserve">On February 1, 2021, the Commonwealth of Massachusetts filed a Motion to end the Rosie D. case.  The motion claimed that the state had fulfilled </w:t>
      </w:r>
      <w:proofErr w:type="gramStart"/>
      <w:r w:rsidRPr="00AF1F60">
        <w:rPr>
          <w:rFonts w:ascii="Verdana" w:eastAsia="Times New Roman" w:hAnsi="Verdana" w:cs="Times New Roman"/>
          <w:color w:val="000000"/>
        </w:rPr>
        <w:t>all of</w:t>
      </w:r>
      <w:proofErr w:type="gramEnd"/>
      <w:r w:rsidRPr="00AF1F60">
        <w:rPr>
          <w:rFonts w:ascii="Verdana" w:eastAsia="Times New Roman" w:hAnsi="Verdana" w:cs="Times New Roman"/>
          <w:color w:val="000000"/>
        </w:rPr>
        <w:t xml:space="preserve"> the requirements of the Court’s Judgment and Remedial Plan, had cured all of the underlying violations of federal Medicaid law, and had established a stable – actually exemplary – children’s mental health system.  The Motion was supported by a Statement of Facts which mostly recited actions taken to create the required home-based services and infrastructure.  The Motion and Statement notably made no mention of the adequacy, quality, or outcomes of those services or the impact on children and youth with SED.  Nor did it address the persistent concerns with long waiting lists for services, poor evaluations of services, or the failure to provide care coordination to thousands of children. </w:t>
      </w:r>
    </w:p>
    <w:p w14:paraId="6CDADFF4"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sidRPr="00AF1F60">
        <w:rPr>
          <w:rFonts w:ascii="Verdana" w:eastAsia="Times New Roman" w:hAnsi="Verdana" w:cs="Times New Roman"/>
          <w:color w:val="000000"/>
        </w:rPr>
        <w:t>On April 1, 2021, the plaintiffs submitted a comprehensive </w:t>
      </w:r>
      <w:hyperlink r:id="rId5" w:tgtFrame="_blank" w:history="1">
        <w:r w:rsidRPr="00AF1F60">
          <w:rPr>
            <w:rFonts w:ascii="Verdana" w:eastAsia="Times New Roman" w:hAnsi="Verdana" w:cs="Times New Roman"/>
            <w:b/>
            <w:bCs/>
            <w:color w:val="0066CC"/>
            <w:u w:val="single"/>
          </w:rPr>
          <w:t>Opposition to Defendants’ Motion to Terminate or Modify the Judgment</w:t>
        </w:r>
      </w:hyperlink>
      <w:r w:rsidRPr="00AF1F60">
        <w:rPr>
          <w:rFonts w:ascii="Verdana" w:eastAsia="Times New Roman" w:hAnsi="Verdana" w:cs="Times New Roman"/>
          <w:b/>
          <w:bCs/>
          <w:color w:val="000000"/>
        </w:rPr>
        <w:t>,</w:t>
      </w:r>
      <w:r w:rsidRPr="00AF1F60">
        <w:rPr>
          <w:rFonts w:ascii="Verdana" w:eastAsia="Times New Roman" w:hAnsi="Verdana" w:cs="Times New Roman"/>
          <w:color w:val="000000"/>
        </w:rPr>
        <w:t> arguing that termination of Court oversight and jurisdiction in </w:t>
      </w:r>
      <w:r w:rsidRPr="00AF1F60">
        <w:rPr>
          <w:rFonts w:ascii="Verdana" w:eastAsia="Times New Roman" w:hAnsi="Verdana" w:cs="Times New Roman"/>
          <w:i/>
          <w:iCs/>
          <w:color w:val="000000"/>
        </w:rPr>
        <w:t>Rosie D. v. Baker</w:t>
      </w:r>
      <w:r w:rsidRPr="00AF1F60">
        <w:rPr>
          <w:rFonts w:ascii="Verdana" w:eastAsia="Times New Roman" w:hAnsi="Verdana" w:cs="Times New Roman"/>
          <w:color w:val="000000"/>
        </w:rPr>
        <w:t> was premature, and that the defendants had not proven substantial compliance with the terms of the Judgment</w:t>
      </w:r>
      <w:r w:rsidRPr="00AF1F60">
        <w:rPr>
          <w:rFonts w:ascii="Verdana" w:eastAsia="Times New Roman" w:hAnsi="Verdana" w:cs="Times New Roman"/>
          <w:b/>
          <w:bCs/>
          <w:color w:val="000000"/>
        </w:rPr>
        <w:t>. </w:t>
      </w:r>
      <w:r w:rsidRPr="00AF1F60">
        <w:rPr>
          <w:rFonts w:ascii="Verdana" w:eastAsia="Times New Roman" w:hAnsi="Verdana" w:cs="Times New Roman"/>
          <w:color w:val="000000"/>
        </w:rPr>
        <w:t> Supporting the Plaintiffs’ Opposition are three expert affidavits and three affidavits from fact witnesses – families and providers -- familiar with the implementation of </w:t>
      </w:r>
      <w:r w:rsidRPr="00AF1F60">
        <w:rPr>
          <w:rFonts w:ascii="Verdana" w:eastAsia="Times New Roman" w:hAnsi="Verdana" w:cs="Times New Roman"/>
          <w:i/>
          <w:iCs/>
          <w:color w:val="000000"/>
        </w:rPr>
        <w:t>Rosie D</w:t>
      </w:r>
      <w:r w:rsidRPr="00AF1F60">
        <w:rPr>
          <w:rFonts w:ascii="Verdana" w:eastAsia="Times New Roman" w:hAnsi="Verdana" w:cs="Times New Roman"/>
          <w:color w:val="000000"/>
        </w:rPr>
        <w:t>. home-based services in Massachusetts. </w:t>
      </w:r>
    </w:p>
    <w:p w14:paraId="23CE9618"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sidRPr="00AF1F60">
        <w:rPr>
          <w:rFonts w:ascii="Verdana" w:eastAsia="Times New Roman" w:hAnsi="Verdana" w:cs="Times New Roman"/>
          <w:color w:val="000000"/>
        </w:rPr>
        <w:t>Relying on the defendants’ own data, the plaintiffs’ </w:t>
      </w:r>
      <w:hyperlink r:id="rId6" w:tgtFrame="_blank" w:history="1">
        <w:r w:rsidRPr="00AF1F60">
          <w:rPr>
            <w:rFonts w:ascii="Verdana" w:eastAsia="Times New Roman" w:hAnsi="Verdana" w:cs="Times New Roman"/>
            <w:b/>
            <w:bCs/>
            <w:color w:val="0066CC"/>
            <w:u w:val="single"/>
          </w:rPr>
          <w:t>Statement of Material Facts</w:t>
        </w:r>
      </w:hyperlink>
      <w:r w:rsidRPr="00AF1F60">
        <w:rPr>
          <w:rFonts w:ascii="Verdana" w:eastAsia="Times New Roman" w:hAnsi="Verdana" w:cs="Times New Roman"/>
          <w:color w:val="000000"/>
        </w:rPr>
        <w:t> illustrates the myriad of ways in which implementation efforts have fallen short of the requirements of the Judgment, failed to fully remedy underlying violations of federal Medicaid law, and failed to put in place a durable remedy. </w:t>
      </w:r>
    </w:p>
    <w:p w14:paraId="4760D356"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sidRPr="00AF1F60">
        <w:rPr>
          <w:rFonts w:ascii="Verdana" w:eastAsia="Times New Roman" w:hAnsi="Verdana" w:cs="Times New Roman"/>
          <w:color w:val="000000"/>
        </w:rPr>
        <w:t>Specifically, plaintiffs’ allege that the defendants remain out of compliance with six key obligations set out under the Judgment and required by federal law: (1) the provision of timely access to remedial services; (2) the establishment of an adequate network of providers with sufficient capacity to provide timely access to remedial services; (3) the delivery of adequate care coordination and remedial services to eligible youth with Serious Emotional Disturbance (SED); (4) the provision of Intensive Care Coordination (ICC) and In-Home Therapy (IHT); (5) the completion of CANS assessments for children leaving acute inpatient, community-based treatment, and residential programs; and (6) the provision of crisis services.</w:t>
      </w:r>
    </w:p>
    <w:p w14:paraId="4F6A909C" w14:textId="77777777" w:rsidR="0007550D"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sidRPr="00AF1F60">
        <w:rPr>
          <w:rFonts w:ascii="Verdana" w:eastAsia="Times New Roman" w:hAnsi="Verdana" w:cs="Times New Roman"/>
          <w:color w:val="000000"/>
        </w:rPr>
        <w:lastRenderedPageBreak/>
        <w:t>A hearing date on the defendants’ </w:t>
      </w:r>
      <w:hyperlink r:id="rId7" w:tgtFrame="_blank" w:history="1">
        <w:r w:rsidRPr="00AF1F60">
          <w:rPr>
            <w:rFonts w:ascii="Verdana" w:eastAsia="Times New Roman" w:hAnsi="Verdana" w:cs="Times New Roman"/>
            <w:b/>
            <w:bCs/>
            <w:color w:val="0066CC"/>
            <w:u w:val="single"/>
          </w:rPr>
          <w:t>Motion for Termination or Modification of the Judgment</w:t>
        </w:r>
      </w:hyperlink>
      <w:r w:rsidRPr="00AF1F60">
        <w:rPr>
          <w:rFonts w:ascii="Verdana" w:eastAsia="Times New Roman" w:hAnsi="Verdana" w:cs="Times New Roman"/>
          <w:color w:val="000000"/>
        </w:rPr>
        <w:t> is anticipated this spring.</w:t>
      </w:r>
      <w:r w:rsidRPr="007B0973">
        <w:rPr>
          <w:rFonts w:ascii="Verdana" w:eastAsia="Times New Roman" w:hAnsi="Verdana" w:cs="Times New Roman"/>
          <w:noProof/>
          <w:color w:val="000000"/>
        </w:rPr>
        <mc:AlternateContent>
          <mc:Choice Requires="wps">
            <w:drawing>
              <wp:inline distT="0" distB="0" distL="0" distR="0" wp14:anchorId="4F6A943A" wp14:editId="6173655C">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F76B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6898620E" w14:textId="173D95AD" w:rsidR="00AF1F60" w:rsidRPr="00AF1F60" w:rsidRDefault="0007550D"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sz w:val="24"/>
          <w:szCs w:val="24"/>
        </w:rPr>
        <w:pict w14:anchorId="2130EF86">
          <v:rect id="_x0000_i1033" style="width:468pt;height:2pt" o:hralign="center" o:hrstd="t" o:hrnoshade="t" o:hr="t" fillcolor="#a5a5a5 [2092]" stroked="f"/>
        </w:pict>
      </w:r>
    </w:p>
    <w:p w14:paraId="38F6AECB"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sidRPr="00AF1F60">
        <w:rPr>
          <w:rFonts w:ascii="Verdana" w:eastAsia="Times New Roman" w:hAnsi="Verdana" w:cs="Times New Roman"/>
          <w:b/>
          <w:bCs/>
          <w:color w:val="000000"/>
          <w:u w:val="single"/>
        </w:rPr>
        <w:t>Court to Hear Plaintiffs’ Affirmative Motions to Modify the Judgment</w:t>
      </w:r>
    </w:p>
    <w:p w14:paraId="6A9C7750"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sidRPr="00AF1F60">
        <w:rPr>
          <w:rFonts w:ascii="Verdana" w:eastAsia="Times New Roman" w:hAnsi="Verdana" w:cs="Times New Roman"/>
          <w:color w:val="000000"/>
        </w:rPr>
        <w:t>In addition to the Defendants’ Motion to Terminate or Modify, the plaintiffs have filed three Motions to Modify the Judgment on behalf of </w:t>
      </w:r>
      <w:r w:rsidRPr="00AF1F60">
        <w:rPr>
          <w:rFonts w:ascii="Verdana" w:eastAsia="Times New Roman" w:hAnsi="Verdana" w:cs="Times New Roman"/>
          <w:i/>
          <w:iCs/>
          <w:color w:val="000000"/>
        </w:rPr>
        <w:t>Rosie D</w:t>
      </w:r>
      <w:r w:rsidRPr="00AF1F60">
        <w:rPr>
          <w:rFonts w:ascii="Verdana" w:eastAsia="Times New Roman" w:hAnsi="Verdana" w:cs="Times New Roman"/>
          <w:color w:val="000000"/>
        </w:rPr>
        <w:t>. class members.  Each motion is discussed below. </w:t>
      </w:r>
    </w:p>
    <w:p w14:paraId="0F9A228A"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hyperlink r:id="rId8" w:tgtFrame="_blank" w:history="1">
        <w:r w:rsidRPr="00AF1F60">
          <w:rPr>
            <w:rFonts w:ascii="Verdana" w:eastAsia="Times New Roman" w:hAnsi="Verdana" w:cs="Times New Roman"/>
            <w:b/>
            <w:bCs/>
            <w:color w:val="0066CC"/>
            <w:u w:val="single"/>
          </w:rPr>
          <w:t xml:space="preserve">Plaintiffs’ Motion </w:t>
        </w:r>
        <w:proofErr w:type="gramStart"/>
        <w:r w:rsidRPr="00AF1F60">
          <w:rPr>
            <w:rFonts w:ascii="Verdana" w:eastAsia="Times New Roman" w:hAnsi="Verdana" w:cs="Times New Roman"/>
            <w:b/>
            <w:bCs/>
            <w:color w:val="0066CC"/>
            <w:u w:val="single"/>
          </w:rPr>
          <w:t>To</w:t>
        </w:r>
        <w:proofErr w:type="gramEnd"/>
        <w:r w:rsidRPr="00AF1F60">
          <w:rPr>
            <w:rFonts w:ascii="Verdana" w:eastAsia="Times New Roman" w:hAnsi="Verdana" w:cs="Times New Roman"/>
            <w:b/>
            <w:bCs/>
            <w:color w:val="0066CC"/>
            <w:u w:val="single"/>
          </w:rPr>
          <w:t xml:space="preserve"> Modify The Judgment To Incorporate The Defendants’ EPSDT Timeliness Standard for Remedial Services</w:t>
        </w:r>
      </w:hyperlink>
      <w:r w:rsidRPr="00AF1F60">
        <w:rPr>
          <w:rFonts w:ascii="Verdana" w:eastAsia="Times New Roman" w:hAnsi="Verdana" w:cs="Times New Roman"/>
          <w:color w:val="000000"/>
        </w:rPr>
        <w:t> would require defendants’ to comply with their long-standing 14 day standard for the initiation of home-based services.  As described in plaintiffs’ supporting </w:t>
      </w:r>
      <w:hyperlink r:id="rId9" w:tgtFrame="_blank" w:history="1">
        <w:r w:rsidRPr="00AF1F60">
          <w:rPr>
            <w:rFonts w:ascii="Verdana" w:eastAsia="Times New Roman" w:hAnsi="Verdana" w:cs="Times New Roman"/>
            <w:b/>
            <w:bCs/>
            <w:color w:val="0066CC"/>
            <w:u w:val="single"/>
          </w:rPr>
          <w:t>Memorandum</w:t>
        </w:r>
      </w:hyperlink>
      <w:r w:rsidRPr="00AF1F60">
        <w:rPr>
          <w:rFonts w:ascii="Verdana" w:eastAsia="Times New Roman" w:hAnsi="Verdana" w:cs="Times New Roman"/>
          <w:color w:val="000000"/>
        </w:rPr>
        <w:t>, ensuring timely access to services is a central purpose of the </w:t>
      </w:r>
      <w:r w:rsidRPr="00AF1F60">
        <w:rPr>
          <w:rFonts w:ascii="Verdana" w:eastAsia="Times New Roman" w:hAnsi="Verdana" w:cs="Times New Roman"/>
          <w:i/>
          <w:iCs/>
          <w:color w:val="000000"/>
        </w:rPr>
        <w:t>Rosie D</w:t>
      </w:r>
      <w:r w:rsidRPr="00AF1F60">
        <w:rPr>
          <w:rFonts w:ascii="Verdana" w:eastAsia="Times New Roman" w:hAnsi="Verdana" w:cs="Times New Roman"/>
          <w:color w:val="000000"/>
        </w:rPr>
        <w:t xml:space="preserve">. remedy.  It is required by performance specifications created under the Judgment, and necessary to remedy the violations of Medicaid requirements on reasonable promptness and Early Periodic Screening Diagnosis and Treatment (EPSDT) found in the District Court’s 2006 liability decision.  In 2019, the District Court concluded that the defendants had persistently failed to comply with this timeliness standard for between one-third and two-thirds of all children with Serious Emotional Disturbance (SED).  But because the District Court had not formally modified its </w:t>
      </w:r>
      <w:proofErr w:type="gramStart"/>
      <w:r w:rsidRPr="00AF1F60">
        <w:rPr>
          <w:rFonts w:ascii="Verdana" w:eastAsia="Times New Roman" w:hAnsi="Verdana" w:cs="Times New Roman"/>
          <w:color w:val="000000"/>
        </w:rPr>
        <w:t>Judgment</w:t>
      </w:r>
      <w:proofErr w:type="gramEnd"/>
      <w:r w:rsidRPr="00AF1F60">
        <w:rPr>
          <w:rFonts w:ascii="Verdana" w:eastAsia="Times New Roman" w:hAnsi="Verdana" w:cs="Times New Roman"/>
          <w:color w:val="000000"/>
        </w:rPr>
        <w:t xml:space="preserve"> to include this standard, the Court of Appeals reversed the decision.  The plaintiffs’ Motion to Modify would cure this problem and make the standard a mandatory and enforceable provision of the Judgment.</w:t>
      </w:r>
    </w:p>
    <w:p w14:paraId="272BBFE2"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sidRPr="00AF1F60">
        <w:rPr>
          <w:rFonts w:ascii="Verdana" w:eastAsia="Times New Roman" w:hAnsi="Verdana" w:cs="Times New Roman"/>
          <w:color w:val="000000"/>
        </w:rPr>
        <w:t xml:space="preserve">The defendants’ own data continues to show that a significant percentage of class members do not receive medically necessary home-based services within the required timeframe.  Plaintiffs’ proposed modification would require that class members </w:t>
      </w:r>
      <w:proofErr w:type="gramStart"/>
      <w:r w:rsidRPr="00AF1F60">
        <w:rPr>
          <w:rFonts w:ascii="Verdana" w:eastAsia="Times New Roman" w:hAnsi="Verdana" w:cs="Times New Roman"/>
          <w:color w:val="000000"/>
        </w:rPr>
        <w:t>are</w:t>
      </w:r>
      <w:proofErr w:type="gramEnd"/>
      <w:r w:rsidRPr="00AF1F60">
        <w:rPr>
          <w:rFonts w:ascii="Verdana" w:eastAsia="Times New Roman" w:hAnsi="Verdana" w:cs="Times New Roman"/>
          <w:color w:val="000000"/>
        </w:rPr>
        <w:t xml:space="preserve"> offered an initial, face-to-face appointment within 14 days of a service request, as required by the defendants’ EPSDT timeliness standard.</w:t>
      </w:r>
    </w:p>
    <w:p w14:paraId="546CF9F9"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hyperlink r:id="rId10" w:tgtFrame="_blank" w:history="1">
        <w:r w:rsidRPr="00AF1F60">
          <w:rPr>
            <w:rFonts w:ascii="Verdana" w:eastAsia="Times New Roman" w:hAnsi="Verdana" w:cs="Times New Roman"/>
            <w:b/>
            <w:bCs/>
            <w:color w:val="0066CC"/>
            <w:u w:val="single"/>
          </w:rPr>
          <w:t>Plaintiffs’ Motion to Modify the Judgment to Incorporate Outpatient Therapy</w:t>
        </w:r>
      </w:hyperlink>
      <w:r w:rsidRPr="00AF1F60">
        <w:rPr>
          <w:rFonts w:ascii="Verdana" w:eastAsia="Times New Roman" w:hAnsi="Verdana" w:cs="Times New Roman"/>
          <w:color w:val="000000"/>
        </w:rPr>
        <w:t> would require adequate care coordination for class members who currently depend on outpatient therapists to perform this function.  As described in plaintiffs’ supporting </w:t>
      </w:r>
      <w:hyperlink r:id="rId11" w:tgtFrame="_blank" w:history="1">
        <w:r w:rsidRPr="00AF1F60">
          <w:rPr>
            <w:rFonts w:ascii="Verdana" w:eastAsia="Times New Roman" w:hAnsi="Verdana" w:cs="Times New Roman"/>
            <w:b/>
            <w:bCs/>
            <w:color w:val="0066CC"/>
            <w:u w:val="single"/>
          </w:rPr>
          <w:t>Memorandum</w:t>
        </w:r>
      </w:hyperlink>
      <w:r w:rsidRPr="00AF1F60">
        <w:rPr>
          <w:rFonts w:ascii="Verdana" w:eastAsia="Times New Roman" w:hAnsi="Verdana" w:cs="Times New Roman"/>
          <w:color w:val="000000"/>
        </w:rPr>
        <w:t xml:space="preserve">, the absence of adequate service coordination was a central finding in the Court’s 2006 liability decision.  This deficiency led to the creation of Wraparound, Intensive Care Coordination as a central component of the home-based service system.  Outpatient therapists were never intended to provide care coordination under the Judgment.  Nevertheless, over the plaintiffs’ objection, the defendants conditioned receipt of certain remedial services on approval by outpatient </w:t>
      </w:r>
      <w:proofErr w:type="gramStart"/>
      <w:r w:rsidRPr="00AF1F60">
        <w:rPr>
          <w:rFonts w:ascii="Verdana" w:eastAsia="Times New Roman" w:hAnsi="Verdana" w:cs="Times New Roman"/>
          <w:color w:val="000000"/>
        </w:rPr>
        <w:t>therapists, and</w:t>
      </w:r>
      <w:proofErr w:type="gramEnd"/>
      <w:r w:rsidRPr="00AF1F60">
        <w:rPr>
          <w:rFonts w:ascii="Verdana" w:eastAsia="Times New Roman" w:hAnsi="Verdana" w:cs="Times New Roman"/>
          <w:color w:val="000000"/>
        </w:rPr>
        <w:t xml:space="preserve"> expected these therapists to provide the requisite service coordination that the children needed.  They </w:t>
      </w:r>
      <w:proofErr w:type="spellStart"/>
      <w:r w:rsidRPr="00AF1F60">
        <w:rPr>
          <w:rFonts w:ascii="Verdana" w:eastAsia="Times New Roman" w:hAnsi="Verdana" w:cs="Times New Roman"/>
          <w:color w:val="000000"/>
        </w:rPr>
        <w:t>they</w:t>
      </w:r>
      <w:proofErr w:type="spellEnd"/>
      <w:r w:rsidRPr="00AF1F60">
        <w:rPr>
          <w:rFonts w:ascii="Verdana" w:eastAsia="Times New Roman" w:hAnsi="Verdana" w:cs="Times New Roman"/>
          <w:color w:val="000000"/>
        </w:rPr>
        <w:t xml:space="preserve"> claimed that the performance of outpatient therapists was not covered by the Judgment and not within the Court’s oversight and jurisdiction.</w:t>
      </w:r>
    </w:p>
    <w:p w14:paraId="73BE9A20" w14:textId="77777777" w:rsidR="00AF1F60" w:rsidRPr="00AF1F60" w:rsidRDefault="00AF1F60" w:rsidP="0007550D">
      <w:pPr>
        <w:pBdr>
          <w:bottom w:val="single" w:sz="4" w:space="1" w:color="auto"/>
        </w:pBdr>
        <w:shd w:val="clear" w:color="auto" w:fill="FFFFFF"/>
        <w:spacing w:before="100" w:beforeAutospacing="1" w:after="100" w:afterAutospacing="1" w:line="240" w:lineRule="auto"/>
        <w:rPr>
          <w:rFonts w:ascii="Verdana" w:eastAsia="Times New Roman" w:hAnsi="Verdana" w:cs="Times New Roman"/>
          <w:color w:val="000000"/>
        </w:rPr>
      </w:pPr>
      <w:r w:rsidRPr="00AF1F60">
        <w:rPr>
          <w:rFonts w:ascii="Verdana" w:eastAsia="Times New Roman" w:hAnsi="Verdana" w:cs="Times New Roman"/>
          <w:color w:val="000000"/>
        </w:rPr>
        <w:lastRenderedPageBreak/>
        <w:t>Reports commissioned by the defendants have shown that outpatient providers are limited in their ability to make appropriate referrals to remedial service providers, to communicate adequately with collateral providers, schools, and state agency staff, and to effectively coordinate service delivery.  The plaintiffs’ proposed modification would make clear that if outpatient therapists are expected to provide service coordination to children and youth with SED who are class members in this case, they must perform the same basic service coordination activities for which ICC care managers are responsible under the Judgment.  The Motion would also make clear that these activities are covered by the Judgment and are enforceable by the Court.</w:t>
      </w:r>
    </w:p>
    <w:p w14:paraId="29907A22" w14:textId="12A31D4C" w:rsidR="00F753DF" w:rsidRPr="007B0973" w:rsidRDefault="00AF1F60" w:rsidP="0007550D">
      <w:pPr>
        <w:pBdr>
          <w:bottom w:val="single" w:sz="4" w:space="1" w:color="auto"/>
        </w:pBdr>
        <w:shd w:val="clear" w:color="auto" w:fill="FFFFFF"/>
        <w:spacing w:before="100" w:beforeAutospacing="1" w:after="100" w:afterAutospacing="1" w:line="240" w:lineRule="auto"/>
      </w:pPr>
      <w:r w:rsidRPr="00AF1F60">
        <w:rPr>
          <w:rFonts w:ascii="Verdana" w:eastAsia="Times New Roman" w:hAnsi="Verdana" w:cs="Times New Roman"/>
          <w:color w:val="000000"/>
        </w:rPr>
        <w:t>Finally, </w:t>
      </w:r>
      <w:hyperlink r:id="rId12" w:tgtFrame="_blank" w:history="1">
        <w:r w:rsidRPr="00AF1F60">
          <w:rPr>
            <w:rFonts w:ascii="Verdana" w:eastAsia="Times New Roman" w:hAnsi="Verdana" w:cs="Times New Roman"/>
            <w:b/>
            <w:bCs/>
            <w:color w:val="0066CC"/>
            <w:u w:val="single"/>
          </w:rPr>
          <w:t>Plaintiffs’ Motion to Modify Paragraph 52 of the Judgment and to Reinstate Court Monitoring and Reporting</w:t>
        </w:r>
      </w:hyperlink>
      <w:r w:rsidRPr="00AF1F60">
        <w:rPr>
          <w:rFonts w:ascii="Verdana" w:eastAsia="Times New Roman" w:hAnsi="Verdana" w:cs="Times New Roman"/>
          <w:color w:val="000000"/>
        </w:rPr>
        <w:t> would re-appoint Karen Snyder as the Court Monitor, and require the continuation of defendants’ reporting obligations, which ended on June 1, 2020, as a result of the Court of Appeals decision.  Plaintiffs’ Motion and </w:t>
      </w:r>
      <w:hyperlink r:id="rId13" w:tgtFrame="_blank" w:history="1">
        <w:r w:rsidRPr="00AF1F60">
          <w:rPr>
            <w:rFonts w:ascii="Verdana" w:eastAsia="Times New Roman" w:hAnsi="Verdana" w:cs="Times New Roman"/>
            <w:b/>
            <w:bCs/>
            <w:color w:val="0066CC"/>
            <w:u w:val="single"/>
          </w:rPr>
          <w:t>Memorandum</w:t>
        </w:r>
      </w:hyperlink>
      <w:r w:rsidRPr="00AF1F60">
        <w:rPr>
          <w:rFonts w:ascii="Verdana" w:eastAsia="Times New Roman" w:hAnsi="Verdana" w:cs="Times New Roman"/>
          <w:color w:val="000000"/>
        </w:rPr>
        <w:t> sought to ensure that the Court had the assistance of an independent disability professional in evaluating the pending motions, including the defendants’ implementation activities and claims of compliance with the Judgment.   After further briefing and a hearing with the parties, the Court issued an </w:t>
      </w:r>
      <w:hyperlink r:id="rId14" w:tgtFrame="_blank" w:history="1">
        <w:r w:rsidRPr="00AF1F60">
          <w:rPr>
            <w:rFonts w:ascii="Verdana" w:eastAsia="Times New Roman" w:hAnsi="Verdana" w:cs="Times New Roman"/>
            <w:b/>
            <w:bCs/>
            <w:color w:val="0066CC"/>
            <w:u w:val="single"/>
          </w:rPr>
          <w:t>Order</w:t>
        </w:r>
        <w:r w:rsidRPr="00AF1F60">
          <w:rPr>
            <w:rFonts w:ascii="Verdana" w:eastAsia="Times New Roman" w:hAnsi="Verdana" w:cs="Times New Roman"/>
            <w:color w:val="0066CC"/>
            <w:u w:val="single"/>
          </w:rPr>
          <w:t> </w:t>
        </w:r>
        <w:r w:rsidRPr="00AF1F60">
          <w:rPr>
            <w:rFonts w:ascii="Verdana" w:eastAsia="Times New Roman" w:hAnsi="Verdana" w:cs="Times New Roman"/>
            <w:b/>
            <w:bCs/>
            <w:color w:val="0066CC"/>
            <w:u w:val="single"/>
          </w:rPr>
          <w:t>Appointing Technical Advisor</w:t>
        </w:r>
      </w:hyperlink>
      <w:r w:rsidRPr="00AF1F60">
        <w:rPr>
          <w:rFonts w:ascii="Verdana" w:eastAsia="Times New Roman" w:hAnsi="Verdana" w:cs="Times New Roman"/>
          <w:color w:val="000000"/>
        </w:rPr>
        <w:t>.  Pursuant to this Order, Ms. Snyder will advise the Court on technical, data, and historical matters related to the pending motions.  The need for modification of paragraph 52 of the Judgment, including continued court monitoring and reporting by the defendants, will depend upon the disposition of these motion</w:t>
      </w:r>
      <w:r w:rsidR="008E197B" w:rsidRPr="007B0973">
        <w:rPr>
          <w:rFonts w:ascii="Verdana" w:eastAsia="Times New Roman" w:hAnsi="Verdana" w:cs="Times New Roman"/>
          <w:color w:val="000000"/>
        </w:rPr>
        <w:t xml:space="preserve">s. </w:t>
      </w:r>
    </w:p>
    <w:sectPr w:rsidR="00F753DF" w:rsidRPr="007B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1F60"/>
    <w:rsid w:val="0007550D"/>
    <w:rsid w:val="00314B06"/>
    <w:rsid w:val="007B0973"/>
    <w:rsid w:val="008E197B"/>
    <w:rsid w:val="00AE72B9"/>
    <w:rsid w:val="00AF1F60"/>
    <w:rsid w:val="00F7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BF5B"/>
  <w15:chartTrackingRefBased/>
  <w15:docId w15:val="{7E355E26-0CB6-46F1-89C7-E9374701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F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F60"/>
    <w:rPr>
      <w:b/>
      <w:bCs/>
    </w:rPr>
  </w:style>
  <w:style w:type="character" w:styleId="Emphasis">
    <w:name w:val="Emphasis"/>
    <w:basedOn w:val="DefaultParagraphFont"/>
    <w:uiPriority w:val="20"/>
    <w:qFormat/>
    <w:rsid w:val="00AF1F60"/>
    <w:rPr>
      <w:i/>
      <w:iCs/>
    </w:rPr>
  </w:style>
  <w:style w:type="character" w:styleId="Hyperlink">
    <w:name w:val="Hyperlink"/>
    <w:basedOn w:val="DefaultParagraphFont"/>
    <w:uiPriority w:val="99"/>
    <w:semiHidden/>
    <w:unhideWhenUsed/>
    <w:rsid w:val="00AF1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69430">
      <w:bodyDiv w:val="1"/>
      <w:marLeft w:val="0"/>
      <w:marRight w:val="0"/>
      <w:marTop w:val="0"/>
      <w:marBottom w:val="0"/>
      <w:divBdr>
        <w:top w:val="none" w:sz="0" w:space="0" w:color="auto"/>
        <w:left w:val="none" w:sz="0" w:space="0" w:color="auto"/>
        <w:bottom w:val="none" w:sz="0" w:space="0" w:color="auto"/>
        <w:right w:val="none" w:sz="0" w:space="0" w:color="auto"/>
      </w:divBdr>
    </w:div>
    <w:div w:id="10732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Plfs%20Motion%20to%20Modify%20on%20Timeliness%2012.21.20.pdf" TargetMode="External"/><Relationship Id="rId13" Type="http://schemas.openxmlformats.org/officeDocument/2006/relationships/hyperlink" Target="http://rosied.org/resources/Documents/Pls'%20Memo%20to%20Modify%20Monitoring%20and%20Reporting.pdf" TargetMode="External"/><Relationship Id="rId3" Type="http://schemas.openxmlformats.org/officeDocument/2006/relationships/webSettings" Target="webSettings.xml"/><Relationship Id="rId7" Type="http://schemas.openxmlformats.org/officeDocument/2006/relationships/hyperlink" Target="http://rosied.org/resources/Documents/Defs%20Motion%20to%20Terminate%20or%20Modify%20Judgment.pdf" TargetMode="External"/><Relationship Id="rId12" Type="http://schemas.openxmlformats.org/officeDocument/2006/relationships/hyperlink" Target="http://rosied.org/resources/Documents/Pls'%20Motion%20to%20Modify%20Monitoring%20and%20Reporting.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osied.org/resources/Documents/Plaintiffs%20Statement%20of%20Material%20Fact.pdf" TargetMode="External"/><Relationship Id="rId11" Type="http://schemas.openxmlformats.org/officeDocument/2006/relationships/hyperlink" Target="http://rosied.org/resources/Documents/Pls'%20Memo%20to%20Modify%20Outpatient%20Therapy.pdf" TargetMode="External"/><Relationship Id="rId5" Type="http://schemas.openxmlformats.org/officeDocument/2006/relationships/hyperlink" Target="http://rosied.org/resources/Documents/Plaintiffs%20Opposition.pdf" TargetMode="External"/><Relationship Id="rId15" Type="http://schemas.openxmlformats.org/officeDocument/2006/relationships/fontTable" Target="fontTable.xml"/><Relationship Id="rId10" Type="http://schemas.openxmlformats.org/officeDocument/2006/relationships/hyperlink" Target="http://rosied.org/resources/Documents/Pls'%20Motion%20to%20Modify%20Incorporating%20Outpatient%20Therapy.pdf" TargetMode="External"/><Relationship Id="rId4" Type="http://schemas.openxmlformats.org/officeDocument/2006/relationships/image" Target="media/image1.jpeg"/><Relationship Id="rId9" Type="http://schemas.openxmlformats.org/officeDocument/2006/relationships/hyperlink" Target="http://rosied.org/resources/Documents/Plfs%20Memo%20in%20Support%20Modification%20on%20Timeliness%2012.21.20.pdf" TargetMode="External"/><Relationship Id="rId14" Type="http://schemas.openxmlformats.org/officeDocument/2006/relationships/hyperlink" Target="http://rosied.org/resources/Documents/Court's%20Final%20Order%20on%20Technical%20Advisor.2.1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Detmers</dc:creator>
  <cp:keywords/>
  <dc:description/>
  <cp:lastModifiedBy>Karen Detmers</cp:lastModifiedBy>
  <cp:revision>5</cp:revision>
  <dcterms:created xsi:type="dcterms:W3CDTF">2021-07-01T17:55:00Z</dcterms:created>
  <dcterms:modified xsi:type="dcterms:W3CDTF">2021-07-01T19:20:00Z</dcterms:modified>
</cp:coreProperties>
</file>